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cs="Times New Roman" w:ascii="Times New Roman" w:hAnsi="Times New Roman"/>
          <w:b/>
          <w:sz w:val="24"/>
          <w:szCs w:val="24"/>
        </w:rPr>
      </w:pPr>
      <w:r>
        <w:rPr>
          <w:rFonts w:cs="Times New Roman" w:ascii="Times New Roman" w:hAnsi="Times New Roman"/>
          <w:b/>
          <w:sz w:val="24"/>
          <w:szCs w:val="24"/>
        </w:rPr>
      </w:r>
    </w:p>
    <w:p>
      <w:pPr>
        <w:pStyle w:val="Normal"/>
        <w:jc w:val="center"/>
        <w:rPr>
          <w:rFonts w:cs="Times New Roman" w:ascii="Times New Roman" w:hAnsi="Times New Roman"/>
          <w:b/>
          <w:sz w:val="24"/>
          <w:szCs w:val="24"/>
        </w:rPr>
      </w:pPr>
      <w:r>
        <w:rPr>
          <w:rFonts w:cs="Times New Roman" w:ascii="Times New Roman" w:hAnsi="Times New Roman"/>
          <w:b/>
          <w:sz w:val="24"/>
          <w:szCs w:val="24"/>
        </w:rPr>
        <w:t>INFORME SOBRE REQUISITOS DE LEY 19.006 SOBRE CONTRATACIÓN DE TRABAJADORES JUBILADOS</w:t>
      </w:r>
    </w:p>
    <w:p>
      <w:pPr>
        <w:pStyle w:val="Normal"/>
        <w:jc w:val="right"/>
        <w:rPr>
          <w:rFonts w:cs="Times New Roman" w:ascii="Times New Roman" w:hAnsi="Times New Roman"/>
          <w:sz w:val="24"/>
          <w:szCs w:val="24"/>
        </w:rPr>
      </w:pPr>
      <w:r>
        <w:rPr>
          <w:rFonts w:cs="Times New Roman" w:ascii="Times New Roman" w:hAnsi="Times New Roman"/>
          <w:sz w:val="24"/>
          <w:szCs w:val="24"/>
        </w:rPr>
      </w:r>
    </w:p>
    <w:p>
      <w:pPr>
        <w:pStyle w:val="Normal"/>
        <w:jc w:val="right"/>
        <w:rPr>
          <w:rFonts w:cs="Times New Roman" w:ascii="Times New Roman" w:hAnsi="Times New Roman"/>
          <w:sz w:val="24"/>
          <w:szCs w:val="24"/>
        </w:rPr>
      </w:pPr>
      <w:r>
        <w:rPr>
          <w:rFonts w:cs="Times New Roman" w:ascii="Times New Roman" w:hAnsi="Times New Roman"/>
          <w:sz w:val="24"/>
          <w:szCs w:val="24"/>
        </w:rPr>
      </w:r>
    </w:p>
    <w:p>
      <w:pPr>
        <w:pStyle w:val="Normal"/>
        <w:jc w:val="right"/>
        <w:rPr>
          <w:rFonts w:cs="Times New Roman" w:ascii="Times New Roman" w:hAnsi="Times New Roman"/>
          <w:sz w:val="24"/>
          <w:szCs w:val="24"/>
        </w:rPr>
      </w:pPr>
      <w:r>
        <w:rPr>
          <w:rFonts w:cs="Times New Roman" w:ascii="Times New Roman" w:hAnsi="Times New Roman"/>
          <w:sz w:val="24"/>
          <w:szCs w:val="24"/>
        </w:rPr>
        <w:t>Montevideo, 12 de setiembre de 2013.-</w:t>
      </w:r>
    </w:p>
    <w:p>
      <w:pPr>
        <w:pStyle w:val="Normal"/>
        <w:spacing w:lineRule="auto" w:line="360"/>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rPr>
          <w:rFonts w:cs="Times New Roman" w:ascii="Times New Roman" w:hAnsi="Times New Roman"/>
          <w:sz w:val="24"/>
          <w:szCs w:val="24"/>
        </w:rPr>
      </w:pPr>
      <w:r>
        <w:rPr>
          <w:rFonts w:cs="Times New Roman" w:ascii="Times New Roman" w:hAnsi="Times New Roman"/>
          <w:sz w:val="24"/>
          <w:szCs w:val="24"/>
        </w:rPr>
        <w:t>Sres. Delegados del sector empleador y trabajador</w:t>
      </w:r>
    </w:p>
    <w:p>
      <w:pPr>
        <w:pStyle w:val="Normal"/>
        <w:spacing w:lineRule="auto" w:line="360"/>
        <w:rPr>
          <w:rFonts w:cs="Times New Roman" w:ascii="Times New Roman" w:hAnsi="Times New Roman"/>
          <w:sz w:val="24"/>
          <w:szCs w:val="24"/>
        </w:rPr>
      </w:pPr>
      <w:r>
        <w:rPr>
          <w:rFonts w:cs="Times New Roman" w:ascii="Times New Roman" w:hAnsi="Times New Roman"/>
          <w:sz w:val="24"/>
          <w:szCs w:val="24"/>
        </w:rPr>
        <w:t>del Consejo de Salarios No.9</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Por la presente, se informa acerca de los requisitos que establece la Ley 19.006 sobre compatibilidad de jubilación y actividad.</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I)ANTECEDENTES</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 xml:space="preserve">En el Consejo hemos recibido varios expedientes solicitando al Consejo la autorización prevista en la Ley 19.006 que permite la contratación de trabajadores jubilados. En la última sesión se acordó que se hiciera por parte de la delegación del Poder Ejecutivo.un informe sobre los requisitos que exige dicha norma </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 xml:space="preserve">II)LA INCOMPATIBILIDAD ENTRE  JUBILACIÓN Y  ACTIVIDAD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REMUNERADA COMO PRINCIPIO GENERAL EN NUESTRO DERECHO</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En el sistema jubilatorio uruguayo, se establece como principio general que el goce de la jubilación por parte de un trabajador es incompatible con el trabajo remunerado. La jubilación común es una prestación de seguridad social que se genera cuando se configura la contingencia vejez, pero cesa si se cumplen tareas laborales.</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Existen algunas excepciones a este principio como por ejemplo las actividades docentes y las actividades docentes de formación profesionales previstas en la Ley 18.721.</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III)LO QUE DISPONE LA LEY 19.006</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La Ley 19.006 aprobada el 16 de noviembre de 2012 introduce una nueva excepción a la incompatibilidad entre jubilación y actividad, con la finalidad de atender las dificultades que encuentran las empresas de algunos sectores económicos para la contratación de personal con la calificación requerida</w:t>
      </w:r>
      <w:r>
        <w:rPr>
          <w:rStyle w:val="Ancladenotaalpie"/>
          <w:rFonts w:cs="Times New Roman" w:ascii="Times New Roman" w:hAnsi="Times New Roman"/>
          <w:sz w:val="24"/>
          <w:szCs w:val="24"/>
        </w:rPr>
        <w:footnoteReference w:id="2"/>
      </w:r>
      <w:r>
        <w:rPr>
          <w:rFonts w:cs="Times New Roman" w:ascii="Times New Roman" w:hAnsi="Times New Roman"/>
          <w:sz w:val="24"/>
          <w:szCs w:val="24"/>
        </w:rPr>
        <w:t xml:space="preserve">. Este tema surgió en la 2ª.etapa del Diálogo Nacional sobre Seguridad Social y al mismo tiempo que facilita la reincorporación de trabajadores jubilados calificados, promueve el empleo de los jóvenes. </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Esta excepción es potestad del Poder Ejecutivo y tiene carácter temporal, precario y revocable, en tanto y en cuanto se cumplan una serie de requisitos.</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La Ley ha sido reglamentada por el Decreto 163/2010 de 28 de mayo de 2013, publicada en el Diario Oficial el 4 de junio de 2013.</w:t>
      </w:r>
    </w:p>
    <w:p>
      <w:pPr>
        <w:pStyle w:val="ListParagraph"/>
        <w:numPr>
          <w:ilvl w:val="0"/>
          <w:numId w:val="1"/>
        </w:numPr>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NECESIDAD DE AUTORIZACIÓN DEL PODER EJECUTIVO Y EL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ÁMBITO DE APLICACIÓN</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 xml:space="preserve">Lo que dispone la Ley es que la  compatibilidad  requiere una autorización del Poder Ejecutivo </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 xml:space="preserve">La misma: a) Sólo podrá disponerse para los afiliados a Industria y Comercio del BPS.  </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ab/>
        <w:t xml:space="preserve">       b) Abarcará sectores de actividad en que exista escasez de mano de obra calificada en determinados oficios, profesiones o categorías laborales (art.2º.).</w:t>
      </w:r>
    </w:p>
    <w:p>
      <w:pPr>
        <w:pStyle w:val="ListParagraph"/>
        <w:numPr>
          <w:ilvl w:val="0"/>
          <w:numId w:val="2"/>
        </w:numPr>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Requiere la consulta previa de la organización más representativa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de jubilados y pensionistas (art.3º.)</w:t>
      </w:r>
    </w:p>
    <w:p>
      <w:pPr>
        <w:pStyle w:val="ListParagraph"/>
        <w:numPr>
          <w:ilvl w:val="0"/>
          <w:numId w:val="2"/>
        </w:numPr>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Requiere la conformidad de las organizaciones más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representativas de trabajadores y empleadores del sector de actividad. </w:t>
      </w:r>
      <w:r>
        <w:rPr>
          <w:rFonts w:cs="Times New Roman" w:ascii="Times New Roman" w:hAnsi="Times New Roman"/>
          <w:sz w:val="24"/>
          <w:szCs w:val="24"/>
          <w:u w:val="single"/>
        </w:rPr>
        <w:t xml:space="preserve">La misma puede documentarse mediante convenio colectivo o en el ámbito del Consejo de Salarios del sector. </w:t>
      </w:r>
      <w:r>
        <w:rPr>
          <w:rFonts w:cs="Times New Roman" w:ascii="Times New Roman" w:hAnsi="Times New Roman"/>
          <w:sz w:val="24"/>
          <w:szCs w:val="24"/>
        </w:rPr>
        <w:t>(art.3º.)</w:t>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t xml:space="preserve">Por su parte la contratación regirá únicamente para personal calificado o superior y el jubilado deberá contribuir a la formación profesional de trabajadores (art 4º.).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Asimismo, la autorización está condicionada  a que no exista una caída del PIB en dos trimestres consecutivos (concepto de recesión económica). Contará con el asesoramiento de una comisión integrada por MTSS, Ministerio de Industria, Ministerio de Economía, BPS y representantes de las organizaciones de trabajadores y empleadores del sector (art.17).</w:t>
      </w:r>
    </w:p>
    <w:p>
      <w:pPr>
        <w:pStyle w:val="ListParagraph"/>
        <w:numPr>
          <w:ilvl w:val="0"/>
          <w:numId w:val="1"/>
        </w:numPr>
        <w:spacing w:lineRule="auto" w:line="360"/>
        <w:jc w:val="both"/>
        <w:rPr>
          <w:rFonts w:cs="Times New Roman" w:ascii="Times New Roman" w:hAnsi="Times New Roman"/>
          <w:sz w:val="24"/>
          <w:szCs w:val="24"/>
        </w:rPr>
      </w:pPr>
      <w:r>
        <w:rPr>
          <w:rFonts w:cs="Times New Roman" w:ascii="Times New Roman" w:hAnsi="Times New Roman"/>
          <w:sz w:val="24"/>
          <w:szCs w:val="24"/>
        </w:rPr>
        <w:t>EL PROCEDIMIENTO DE SOLICITUD DE AMPARO A LA LEY</w:t>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t>De acuerdo al Decreto 163/2013, la solicitud de amparo a la Ley debe presentarse ante el Ministerio de Trabajo y Seguridad Social. Pueden presentarla una empresa, una organización de empleadores o una organización de trabajadores del sector indicando los oficios, profesiones o categorías laborales para los que se verifique escasez de mano de obra.</w:t>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t>El M.T.S.S. debe recabar la información sobre el cumplimiento de la Ley y realizar las consultas a las organizaciones antes detalladas.</w:t>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t>La resolución de autorización será adoptada por el Poder Ejecutivo indicando el sector de actividad, los oficios, profesiones o categorías alcanzadas y el plazo de vigencia.</w:t>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t>El empleador que contrate en este régimen, debe comunicarlo dentro del plazo de 20 días a la Inspección General del Trabajo y de la Seguridad Social (art.5º.del Decreto), indicando datos del contratado, sus tareas y el perfil del trabajador joven que se contratará dentro de los 12 meses del alta del jubilado.</w:t>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t>Al realizar el alta ante el Banco de Previsión Social, debe indicar que contrata bajo el régimen de la Ley.  Si no se cumplieran los requisitos de la Ley el B.P.S. debe comunicarlo a la empresa y esta tendrá un plazo de 10 días hábiles para formular descargos. Si no se levantan las observaciones, se mantiene la incompatibilidad, no pudiéndose contratar bajo el sistema (art.5º. in fine del Decreto).</w:t>
      </w:r>
    </w:p>
    <w:p>
      <w:pPr>
        <w:pStyle w:val="ListParagraph"/>
        <w:numPr>
          <w:ilvl w:val="0"/>
          <w:numId w:val="1"/>
        </w:numPr>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LOS JUBILADOS QUE PUEDEN SER CONTRATADOS POR ESTA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MODALIDAD</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 xml:space="preserve">El jubilado deberá haber cesado en la actividad anterior y estar en goce de jubilación con una anticipación no menor a 6 meses (art.11).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Se excluye a los jubilados por incapacidad total, jubilado por actividades bonificadas y a mayores de 70 años (art.5º.).</w:t>
      </w:r>
    </w:p>
    <w:p>
      <w:pPr>
        <w:pStyle w:val="ListParagraph"/>
        <w:numPr>
          <w:ilvl w:val="0"/>
          <w:numId w:val="1"/>
        </w:numPr>
        <w:spacing w:lineRule="auto" w:line="360"/>
        <w:jc w:val="both"/>
        <w:rPr>
          <w:rFonts w:cs="Times New Roman" w:ascii="Times New Roman" w:hAnsi="Times New Roman"/>
          <w:sz w:val="24"/>
          <w:szCs w:val="24"/>
        </w:rPr>
      </w:pPr>
      <w:r>
        <w:rPr>
          <w:rFonts w:cs="Times New Roman" w:ascii="Times New Roman" w:hAnsi="Times New Roman"/>
          <w:sz w:val="24"/>
          <w:szCs w:val="24"/>
        </w:rPr>
        <w:t>CANTIDAD DE JUBILADOS QUE PUEDEN SER CONTRATADOS</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El número de jubilados que pueden ser contratados al amparo de este régimen no puede superar el 10% de los dependientes de la empresa, salvo si la misma tiene menos de 10 empleados, en que puede contratarse como máximo un trabajador (art.8º.)</w:t>
      </w:r>
    </w:p>
    <w:p>
      <w:pPr>
        <w:pStyle w:val="ListParagraph"/>
        <w:numPr>
          <w:ilvl w:val="0"/>
          <w:numId w:val="1"/>
        </w:numPr>
        <w:spacing w:lineRule="auto" w:line="360"/>
        <w:jc w:val="both"/>
        <w:rPr>
          <w:rFonts w:cs="Times New Roman" w:ascii="Times New Roman" w:hAnsi="Times New Roman"/>
          <w:sz w:val="24"/>
          <w:szCs w:val="24"/>
        </w:rPr>
      </w:pPr>
      <w:r>
        <w:rPr>
          <w:rFonts w:cs="Times New Roman" w:ascii="Times New Roman" w:hAnsi="Times New Roman"/>
          <w:sz w:val="24"/>
          <w:szCs w:val="24"/>
        </w:rPr>
        <w:t>PLAZO MÁXIMO DE CONTRATACIÓN</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La contratación de los jubilados será a término y no podrá exceder los dos años (art.6º.). Si el Poder Ejecutivo revoca la autorización, se extingue el contrato de trabajo de pleno derecho y sin responsabilidad para ninguna de las partes.</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r>
    </w:p>
    <w:p>
      <w:pPr>
        <w:pStyle w:val="ListParagraph"/>
        <w:numPr>
          <w:ilvl w:val="0"/>
          <w:numId w:val="1"/>
        </w:numPr>
        <w:spacing w:lineRule="auto" w:line="360"/>
        <w:jc w:val="both"/>
        <w:rPr>
          <w:rFonts w:cs="Times New Roman" w:ascii="Times New Roman" w:hAnsi="Times New Roman"/>
          <w:sz w:val="24"/>
          <w:szCs w:val="24"/>
        </w:rPr>
      </w:pPr>
      <w:r>
        <w:rPr>
          <w:rFonts w:cs="Times New Roman" w:ascii="Times New Roman" w:hAnsi="Times New Roman"/>
          <w:sz w:val="24"/>
          <w:szCs w:val="24"/>
        </w:rPr>
        <w:t>DERECHOS DEL TRABAJADOR CONTRATADO EN ESTE RÉGIMEN</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El trabajador tiene en principio ,los mismos derechos consagrados por las normas laborales y de seguridad social.</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De todos modos, existen algunas normas específicas:</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a) Tendrá una jornada máxima de 6 horas diarias (art.10º.).Puede ser contratado simultáneamente por dos empresas, siempre que se respete este límite (art.7º.del Decreto).</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b)Su retribución no podrá ser inferior al que percibía en actividad si se trata del mismo empleador o del mismo grupo económico, en proporción a la jornada máxima antes mencionada (art.9º.).</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c) Si la relación laboral dura más de un año o si el contrato se extingue por revocación de la autorización del Poder Ejecutivo, el trabajador tendrá derecho a cobrar una prestación equivalente al promedio de las asignaciones computables correspondientes a los 12 meses anteriores al cese. Esta prestación la paga el B.P.S.  y una vez cobrada el trabajador no puede volver a ser contratado por el régimen de la Ley (art.6º.)</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d) Una vez transcurridos dos años puede pedir reliquidación de jubilación</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7) OBLIGACIONES DEL EMPLEADOR QUE CONTRATA BAJO ESTE RÉGIMEN</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a) Por cada jubilado , debe contratar un trabajador joven (18 a 29 años) por un mínimo de 180 días (art.7º.).</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b) El trabajador contratado deberá cumplir tareas para las cuales haya recibido capacitación de instituciones del Estado. Se escogerá de una lista de postulantes elaborada por el Sistema Público de Empleo a cargo de la Dirección Nacional de Empleo, quien debe comunicar esta lista al B.P.S.</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 xml:space="preserve">c) La contratación debe realizarse dentro de los 12 meses posteriores al contrato del jubilado (art.7º.). </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d) El empleador que contrate jubilados bajo este régimen no puede despedir ni suspender a otros trabajadores de la ocupación, oficio o categoría laboral correspondiente a su calificación profesional, salvo por motivos disciplinarios..La prohibición rige durante el contrato y en los 60 días anteriores al mismo.(art.12)</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e) Las empresas tienen que estar al día con los aportes  a la seguridad social.</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8) SANCIONES POR INCUMPLIMIENTO</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Como se estableció anteriormente, un primer control está a cargo del B.P.S. quien puede no dar el alta, si no se cumplen los requisitos de la Ley.</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Asimismo, se prevé la aplicación de sanciones al empleador incumplidor por parte de la Inspección de Trabajo, aunque esto no supone la pérdida de la compatibilidad</w:t>
      </w:r>
      <w:r>
        <w:rPr>
          <w:rStyle w:val="Ancladenotaalpie"/>
          <w:rFonts w:cs="Times New Roman" w:ascii="Times New Roman" w:hAnsi="Times New Roman"/>
          <w:sz w:val="24"/>
          <w:szCs w:val="24"/>
        </w:rPr>
        <w:footnoteReference w:id="3"/>
      </w:r>
      <w:r>
        <w:rPr>
          <w:rFonts w:cs="Times New Roman" w:ascii="Times New Roman" w:hAnsi="Times New Roman"/>
          <w:sz w:val="24"/>
          <w:szCs w:val="24"/>
        </w:rPr>
        <w:t>.</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En el caso de que el empleador incumpla las obligaciones para contratar personal joven, queda inhabilitado para utilizar los mecanismos de contratación de la Ley.</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IV) ALGUNOS COMENTARIOS</w:t>
      </w:r>
    </w:p>
    <w:p>
      <w:pPr>
        <w:pStyle w:val="ListParagraph"/>
        <w:numPr>
          <w:ilvl w:val="0"/>
          <w:numId w:val="3"/>
        </w:numPr>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De acuerdo a lo que señala la Ley, la autorización de las organizaciones más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representativas de trabajadores y empleadores del Consejo de Salarios  es un requisito previo para la autorización general que podrá dar el Poder Ejecutivo para el sector de actividad. </w:t>
      </w:r>
    </w:p>
    <w:p>
      <w:pPr>
        <w:pStyle w:val="ListParagraph"/>
        <w:numPr>
          <w:ilvl w:val="0"/>
          <w:numId w:val="3"/>
        </w:numPr>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Para ello tendrá que evaluarse si existe escasez de mano de obra calificada en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determinados oficios, profesiones o categorías laborales.</w:t>
      </w:r>
    </w:p>
    <w:p>
      <w:pPr>
        <w:pStyle w:val="ListParagraph"/>
        <w:numPr>
          <w:ilvl w:val="0"/>
          <w:numId w:val="3"/>
        </w:numPr>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Esta autorización del Poder Ejecutivo, es para el sector en general , no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constituye un requisito indispensable para cada empresa que quiere acudir al régimen en particular, sin perjuicio de que el Consejo de Salarios, manifieste su opinión en cada expediente que inicie cada empresa.</w:t>
      </w:r>
    </w:p>
    <w:p>
      <w:pPr>
        <w:pStyle w:val="Normal"/>
        <w:spacing w:lineRule="auto" w:line="360"/>
        <w:ind w:left="0" w:right="0" w:firstLine="705"/>
        <w:jc w:val="both"/>
        <w:rPr>
          <w:rFonts w:cs="Times New Roman" w:ascii="Times New Roman" w:hAnsi="Times New Roman"/>
          <w:sz w:val="24"/>
          <w:szCs w:val="24"/>
        </w:rPr>
      </w:pPr>
      <w:r>
        <w:rPr>
          <w:rFonts w:cs="Times New Roman" w:ascii="Times New Roman" w:hAnsi="Times New Roman"/>
          <w:sz w:val="24"/>
          <w:szCs w:val="24"/>
        </w:rPr>
        <w:t>Sin otro particular, saludamos a Ud. atentamente:</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Por la delegación del Poder Ejecutivo en el Consejo de Salarios Grupo No.9</w:t>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ind w:left="0" w:right="0" w:firstLine="708"/>
        <w:jc w:val="both"/>
        <w:rPr>
          <w:rFonts w:cs="Times New Roman" w:ascii="Times New Roman" w:hAnsi="Times New Roman"/>
          <w:sz w:val="24"/>
          <w:szCs w:val="24"/>
        </w:rPr>
      </w:pPr>
      <w:r>
        <w:rPr>
          <w:rFonts w:cs="Times New Roman" w:ascii="Times New Roman" w:hAnsi="Times New Roman"/>
          <w:sz w:val="24"/>
          <w:szCs w:val="24"/>
        </w:rPr>
        <w:t>Dr. Fernando Delgado</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Cra. Laura Mata</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Dra. Raquel Cruz</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Dra. Andrea Bottini</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 xml:space="preserve"> </w:t>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360"/>
        <w:jc w:val="both"/>
        <w:rPr>
          <w:rFonts w:cs="Times New Roman" w:ascii="Times New Roman" w:hAnsi="Times New Roman"/>
          <w:sz w:val="24"/>
          <w:szCs w:val="24"/>
        </w:rPr>
      </w:pPr>
      <w:r>
        <w:rPr>
          <w:rFonts w:cs="Times New Roman" w:ascii="Times New Roman" w:hAnsi="Times New Roman"/>
          <w:sz w:val="24"/>
          <w:szCs w:val="24"/>
        </w:rPr>
        <w:tab/>
        <w:t xml:space="preserve"> </w:t>
      </w:r>
    </w:p>
    <w:sectPr>
      <w:footnotePr>
        <w:numFmt w:val="decimal"/>
      </w:footnotePr>
      <w:type w:val="nextPage"/>
      <w:pgSz w:w="11906" w:h="16838"/>
      <w:pgMar w:left="1701" w:right="1701"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Notaalpie"/>
        <w:rPr/>
      </w:pPr>
      <w:r>
        <w:rPr>
          <w:rStyle w:val="Footnotereference"/>
        </w:rPr>
        <w:footnoteRef/>
        <w:tab/>
      </w:r>
      <w:r>
        <w:rPr/>
        <w:t xml:space="preserve"> </w:t>
      </w:r>
      <w:r>
        <w:rPr/>
        <w:t xml:space="preserve">NICOLIELLO, Ariel: “Compatibilidad entre jubilación y actividad en la Ley 19.006 de 16 de noviembre de 2012”en </w:t>
      </w:r>
      <w:r>
        <w:rPr>
          <w:i/>
        </w:rPr>
        <w:t>revista Derecho Laboral</w:t>
      </w:r>
      <w:r>
        <w:rPr/>
        <w:t>, No.249, pág 76</w:t>
      </w:r>
    </w:p>
  </w:footnote>
  <w:footnote w:id="3">
    <w:p>
      <w:pPr>
        <w:pStyle w:val="Notaalpie"/>
        <w:rPr/>
      </w:pPr>
      <w:r>
        <w:rPr>
          <w:rStyle w:val="Footnotereference"/>
        </w:rPr>
        <w:footnoteRef/>
        <w:tab/>
      </w:r>
      <w:r>
        <w:rPr/>
        <w:t xml:space="preserve"> </w:t>
      </w:r>
      <w:r>
        <w:rPr/>
        <w:t>NICOLIELLO, Ariel, ob. cit, pág 81.</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211"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lvl w:ilvl="0">
      <w:start w:val="3"/>
      <w:numFmt w:val="lowerLetter"/>
      <w:lvlText w:val="%1)"/>
      <w:lvlJc w:val="left"/>
      <w:pPr>
        <w:ind w:left="2196" w:hanging="360"/>
      </w:pPr>
    </w:lvl>
    <w:lvl w:ilvl="1">
      <w:start w:val="1"/>
      <w:numFmt w:val="lowerLetter"/>
      <w:lvlText w:val="%2."/>
      <w:lvlJc w:val="left"/>
      <w:pPr>
        <w:ind w:left="2916" w:hanging="360"/>
      </w:pPr>
    </w:lvl>
    <w:lvl w:ilvl="2">
      <w:start w:val="1"/>
      <w:numFmt w:val="lowerRoman"/>
      <w:lvlText w:val="%3."/>
      <w:lvlJc w:val="right"/>
      <w:pPr>
        <w:ind w:left="3636" w:hanging="180"/>
      </w:pPr>
    </w:lvl>
    <w:lvl w:ilvl="3">
      <w:start w:val="1"/>
      <w:numFmt w:val="decimal"/>
      <w:lvlText w:val="%4."/>
      <w:lvlJc w:val="left"/>
      <w:pPr>
        <w:ind w:left="4356" w:hanging="360"/>
      </w:pPr>
    </w:lvl>
    <w:lvl w:ilvl="4">
      <w:start w:val="1"/>
      <w:numFmt w:val="lowerLetter"/>
      <w:lvlText w:val="%5."/>
      <w:lvlJc w:val="left"/>
      <w:pPr>
        <w:ind w:left="5076" w:hanging="360"/>
      </w:pPr>
    </w:lvl>
    <w:lvl w:ilvl="5">
      <w:start w:val="1"/>
      <w:numFmt w:val="lowerRoman"/>
      <w:lvlText w:val="%6."/>
      <w:lvlJc w:val="right"/>
      <w:pPr>
        <w:ind w:left="5796" w:hanging="180"/>
      </w:pPr>
    </w:lvl>
    <w:lvl w:ilvl="6">
      <w:start w:val="1"/>
      <w:numFmt w:val="decimal"/>
      <w:lvlText w:val="%7."/>
      <w:lvlJc w:val="left"/>
      <w:pPr>
        <w:ind w:left="6516" w:hanging="360"/>
      </w:pPr>
    </w:lvl>
    <w:lvl w:ilvl="7">
      <w:start w:val="1"/>
      <w:numFmt w:val="lowerLetter"/>
      <w:lvlText w:val="%8."/>
      <w:lvlJc w:val="left"/>
      <w:pPr>
        <w:ind w:left="7236" w:hanging="360"/>
      </w:pPr>
    </w:lvl>
    <w:lvl w:ilvl="8">
      <w:start w:val="1"/>
      <w:numFmt w:val="lowerRoman"/>
      <w:lvlText w:val="%9."/>
      <w:lvlJc w:val="right"/>
      <w:pPr>
        <w:ind w:left="7956" w:hanging="180"/>
      </w:pPr>
    </w:lvl>
  </w:abstractNum>
  <w:abstractNum w:abstractNumId="3">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w:docDefaults>
    <w:rPrDefault>
      <w:rPr>
        <w:rFonts w:ascii="Calibri" w:hAnsi="Calibri" w:eastAsia="SimSun" w:cs="Calibri"/>
        <w:sz w:val="22"/>
        <w:szCs w:val="22"/>
        <w:lang w:val="es-UY"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2c5b90"/>
    <w:pPr>
      <w:widowControl/>
      <w:suppressAutoHyphens w:val="true"/>
      <w:bidi w:val="0"/>
      <w:spacing w:lineRule="auto" w:line="276" w:before="0" w:after="200"/>
      <w:jc w:val="left"/>
    </w:pPr>
    <w:rPr>
      <w:rFonts w:ascii="Calibri" w:hAnsi="Calibri" w:eastAsia="SimSun" w:cs="Calibri"/>
      <w:color w:val="auto"/>
      <w:sz w:val="22"/>
      <w:szCs w:val="22"/>
      <w:lang w:val="es-UY" w:eastAsia="en-US" w:bidi="ar-SA"/>
    </w:rPr>
  </w:style>
  <w:style w:type="character" w:styleId="DefaultParagraphFont" w:default="1">
    <w:name w:val="Default Paragraph Font"/>
    <w:uiPriority w:val="1"/>
    <w:semiHidden/>
    <w:unhideWhenUsed/>
    <w:rPr/>
  </w:style>
  <w:style w:type="character" w:styleId="TextonotapieCar" w:customStyle="1">
    <w:name w:val="Texto nota pie Car"/>
    <w:uiPriority w:val="99"/>
    <w:semiHidden/>
    <w:link w:val="Textonotapie"/>
    <w:rsid w:val="00517c28"/>
    <w:basedOn w:val="DefaultParagraphFont"/>
    <w:rPr>
      <w:sz w:val="20"/>
      <w:szCs w:val="20"/>
    </w:rPr>
  </w:style>
  <w:style w:type="character" w:styleId="Footnotereference">
    <w:name w:val="footnote reference"/>
    <w:uiPriority w:val="99"/>
    <w:semiHidden/>
    <w:unhideWhenUsed/>
    <w:rsid w:val="00517c28"/>
    <w:basedOn w:val="DefaultParagraphFont"/>
    <w:rPr>
      <w:vertAlign w:val="superscript"/>
    </w:rPr>
  </w:style>
  <w:style w:type="character" w:styleId="Caracteresdenotaalpie">
    <w:name w:val="Caracteres de nota al pie"/>
    <w:rPr/>
  </w:style>
  <w:style w:type="character" w:styleId="Ancladenotaalpie">
    <w:name w:val="Ancla de nota al pie"/>
    <w:rPr>
      <w:vertAlign w:val="superscript"/>
    </w:rPr>
  </w:style>
  <w:style w:type="character" w:styleId="Ancladenotafinal">
    <w:name w:val="Ancla de nota final"/>
    <w:rPr>
      <w:vertAlign w:val="superscript"/>
    </w:rPr>
  </w:style>
  <w:style w:type="character" w:styleId="Caracteresdenotafinal">
    <w:name w:val="Caracteres de nota final"/>
    <w:rPr/>
  </w:style>
  <w:style w:type="paragraph" w:styleId="Encabezado">
    <w:name w:val="Encabezado"/>
    <w:basedOn w:val="Normal"/>
    <w:next w:val="Cuerpodetexto"/>
    <w:pPr>
      <w:keepNext/>
      <w:spacing w:before="240" w:after="120"/>
    </w:pPr>
    <w:rPr>
      <w:rFonts w:ascii="Liberation Sans" w:hAnsi="Liberation Sans" w:eastAsia="Microsoft YaHei" w:cs="Mangal"/>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Mangal"/>
    </w:rPr>
  </w:style>
  <w:style w:type="paragraph" w:styleId="Pie">
    <w:name w:val="Pie"/>
    <w:basedOn w:val="Normal"/>
    <w:pPr>
      <w:suppressLineNumbers/>
      <w:spacing w:before="120" w:after="120"/>
    </w:pPr>
    <w:rPr>
      <w:rFonts w:cs="Mangal"/>
      <w:i/>
      <w:iCs/>
      <w:sz w:val="24"/>
      <w:szCs w:val="24"/>
    </w:rPr>
  </w:style>
  <w:style w:type="paragraph" w:styleId="Ndice">
    <w:name w:val="Índice"/>
    <w:basedOn w:val="Normal"/>
    <w:pPr>
      <w:suppressLineNumbers/>
    </w:pPr>
    <w:rPr>
      <w:rFonts w:cs="Mangal"/>
    </w:rPr>
  </w:style>
  <w:style w:type="paragraph" w:styleId="ListParagraph">
    <w:name w:val="List Paragraph"/>
    <w:uiPriority w:val="34"/>
    <w:qFormat/>
    <w:rsid w:val="005d67b8"/>
    <w:basedOn w:val="Normal"/>
    <w:pPr>
      <w:spacing w:before="0" w:after="200"/>
      <w:ind w:left="720" w:right="0" w:hanging="0"/>
      <w:contextualSpacing/>
    </w:pPr>
    <w:rPr/>
  </w:style>
  <w:style w:type="paragraph" w:styleId="Footnotetext">
    <w:name w:val="footnote text"/>
    <w:uiPriority w:val="99"/>
    <w:semiHidden/>
    <w:unhideWhenUsed/>
    <w:link w:val="TextonotapieCar"/>
    <w:rsid w:val="00517c28"/>
    <w:basedOn w:val="Normal"/>
    <w:pPr>
      <w:spacing w:lineRule="auto" w:line="240" w:before="0" w:after="0"/>
    </w:pPr>
    <w:rPr>
      <w:sz w:val="20"/>
      <w:szCs w:val="20"/>
    </w:rPr>
  </w:style>
  <w:style w:type="paragraph" w:styleId="Notaalpie">
    <w:name w:val="Nota al pie"/>
    <w:basedOn w:val="Normal"/>
    <w:pPr/>
    <w:rPr/>
  </w:style>
  <w:style w:type="numbering" w:styleId="NoList" w:default="1">
    <w:name w:val="No List"/>
    <w:uiPriority w:val="99"/>
    <w:semiHidden/>
    <w:unhideWhenUsed/>
  </w:style>
  <w:style w:type="table" w:default="1" w:styleId="Tablanormal">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909D1-F473-4314-B2DC-C46A24D05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2013-09-14T20:18:00Z</dcterms:created>
  <dc:creator>Ana</dc:creator>
  <dc:language>es-UY</dc:language>
  <cp:lastModifiedBy>Ana</cp:lastModifiedBy>
  <cp:lastPrinted>2013-09-16T11:26:00Z</cp:lastPrinted>
  <dcterms:modified xsi:type="dcterms:W3CDTF">2013-09-16T11:44:00Z</dcterms:modified>
  <cp:revision>5</cp:revision>
</cp:coreProperties>
</file>