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36" w:rsidRPr="007C2D36" w:rsidRDefault="007C2D36" w:rsidP="007C2D36">
      <w:pPr>
        <w:shd w:val="clear" w:color="auto" w:fill="D9EDF7"/>
        <w:spacing w:before="150" w:line="240" w:lineRule="auto"/>
        <w:jc w:val="center"/>
        <w:outlineLvl w:val="0"/>
        <w:rPr>
          <w:rFonts w:ascii="Helvetica" w:eastAsia="Times New Roman" w:hAnsi="Helvetica" w:cs="Helvetica"/>
          <w:color w:val="3A87AD"/>
          <w:kern w:val="36"/>
          <w:sz w:val="27"/>
          <w:szCs w:val="27"/>
          <w:lang w:eastAsia="es-UY"/>
        </w:rPr>
      </w:pPr>
      <w:r w:rsidRPr="007C2D36">
        <w:rPr>
          <w:rFonts w:ascii="Helvetica" w:eastAsia="Times New Roman" w:hAnsi="Helvetica" w:cs="Helvetica"/>
          <w:color w:val="3A87AD"/>
          <w:kern w:val="36"/>
          <w:sz w:val="27"/>
          <w:szCs w:val="27"/>
          <w:lang w:eastAsia="es-UY"/>
        </w:rPr>
        <w:t>Ley </w:t>
      </w:r>
      <w:r w:rsidRPr="007C2D36">
        <w:rPr>
          <w:rFonts w:ascii="Helvetica" w:eastAsia="Times New Roman" w:hAnsi="Helvetica" w:cs="Helvetica"/>
          <w:b/>
          <w:bCs/>
          <w:color w:val="3A87AD"/>
          <w:kern w:val="36"/>
          <w:sz w:val="27"/>
          <w:lang w:eastAsia="es-UY"/>
        </w:rPr>
        <w:t>N° 19726</w:t>
      </w:r>
    </w:p>
    <w:p w:rsidR="007C2D36" w:rsidRPr="007C2D36" w:rsidRDefault="007C2D36" w:rsidP="007C2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7C2D36">
        <w:rPr>
          <w:rFonts w:ascii="Times New Roman" w:eastAsia="Times New Roman" w:hAnsi="Times New Roman" w:cs="Times New Roman"/>
          <w:sz w:val="24"/>
          <w:szCs w:val="24"/>
          <w:lang w:eastAsia="es-UY"/>
        </w:rPr>
        <w:t>Documento original</w:t>
      </w:r>
      <w:r w:rsidRPr="007C2D36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es-UY"/>
        </w:rPr>
        <w:t> </w:t>
      </w:r>
    </w:p>
    <w:p w:rsidR="007C2D36" w:rsidRPr="007C2D36" w:rsidRDefault="0027114C" w:rsidP="007C2D3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hyperlink r:id="rId4" w:tgtFrame="_blank" w:history="1">
        <w:r w:rsidR="007C2D36" w:rsidRPr="007C2D36">
          <w:rPr>
            <w:rFonts w:ascii="Helvetica" w:eastAsia="Times New Roman" w:hAnsi="Helvetica" w:cs="Helvetica"/>
            <w:color w:val="DDDDDD"/>
            <w:sz w:val="18"/>
            <w:u w:val="single"/>
            <w:lang w:eastAsia="es-UY"/>
          </w:rPr>
          <w:t>Ver Imagen</w:t>
        </w:r>
      </w:hyperlink>
    </w:p>
    <w:p w:rsidR="007C2D36" w:rsidRPr="007C2D36" w:rsidRDefault="007C2D36" w:rsidP="007C2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</w:p>
    <w:p w:rsidR="007C2D36" w:rsidRPr="007C2D36" w:rsidRDefault="007C2D36" w:rsidP="007C2D3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br/>
      </w:r>
    </w:p>
    <w:p w:rsidR="007C2D36" w:rsidRPr="007C2D36" w:rsidRDefault="007C2D36" w:rsidP="007C2D36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Fecha de Publicación: 03/01/2019</w:t>
      </w:r>
    </w:p>
    <w:p w:rsidR="007C2D36" w:rsidRPr="007C2D36" w:rsidRDefault="007C2D36" w:rsidP="007C2D36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t>Página: 15</w:t>
      </w:r>
    </w:p>
    <w:p w:rsidR="007C2D36" w:rsidRPr="007C2D36" w:rsidRDefault="007C2D36" w:rsidP="007C2D36">
      <w:pPr>
        <w:shd w:val="clear" w:color="auto" w:fill="FFFFFF"/>
        <w:spacing w:before="150" w:after="150" w:line="240" w:lineRule="auto"/>
        <w:outlineLvl w:val="5"/>
        <w:rPr>
          <w:rFonts w:ascii="Helvetica" w:eastAsia="Times New Roman" w:hAnsi="Helvetica" w:cs="Helvetica"/>
          <w:color w:val="333333"/>
          <w:sz w:val="18"/>
          <w:szCs w:val="18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18"/>
          <w:szCs w:val="18"/>
          <w:lang w:eastAsia="es-UY"/>
        </w:rPr>
        <w:t>Carilla: 15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outlineLvl w:val="4"/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  <w:t>PODER EJECUTIVO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outlineLvl w:val="4"/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b/>
          <w:bCs/>
          <w:color w:val="333333"/>
          <w:sz w:val="20"/>
          <w:szCs w:val="20"/>
          <w:lang w:eastAsia="es-UY"/>
        </w:rPr>
        <w:t>MINISTERIO DE EDUCACIÓN Y CULTURA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 Ley 19.726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Modifícase el art. 1.844 del Código Civil y deróganse los arts. 35 y 36 de la Ley 1.816, referidos a la responsabilidad de arquitectos, ingenieros y constructores.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(6.074*R)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PODER LEGISLATIVO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Senado y la Cámara de Representantes de la República Oriental del Uruguay, reunidos en Asamblea General,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 DECRETAN</w:t>
      </w:r>
    </w:p>
    <w:bookmarkStart w:id="0" w:name="1"/>
    <w:bookmarkEnd w:id="0"/>
    <w:p w:rsidR="007C2D36" w:rsidRPr="007C2D36" w:rsidRDefault="0027114C" w:rsidP="007C2D36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7C2D36"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"https://www.impo.com.uy/bases/leyes-originales/19726-2018/1" </w:instrTex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7C2D36" w:rsidRPr="007C2D36">
        <w:rPr>
          <w:rFonts w:ascii="Helvetica" w:eastAsia="Times New Roman" w:hAnsi="Helvetica" w:cs="Helvetica"/>
          <w:color w:val="ACAAAD"/>
          <w:sz w:val="27"/>
          <w:u w:val="single"/>
          <w:lang w:eastAsia="es-UY"/>
        </w:rPr>
        <w:t>Artículo 1</w: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Sustitúyese el artículo 1844 del Código Civil, por el siguiente: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"ARTÍCULO 1844.- El arquitecto, el ingeniero, el constructor y el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empresario de un edificio destinado por su naturaleza a tener larga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duración, son responsables por espacio de diez años por los defectos 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vicios que, ya sea en todo o en parte, afecten su estabilidad 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solidez o lo hagan impropio para el uso pactado expresa o tácitamente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o para el uso a que normalmente se destina, por vicio de la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construcción o del suelo, por una incorrecta dirección de la obra, por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defectos de cálculo o por la mala calidad de los materiales, haya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suministrado estos o no el comitente y a pesar de cualquier cláusula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en contrario, siendo esta disposición de orden público.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 arquitecto, el ingeniero, el constructor y el empresario solo se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exonerarán de la responsabilidad regulada por el presente artículo si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acreditan que el vicio o defecto se produjo por causa extraña que no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les fuere imputable. No constituye causa extraña el vicio de los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materiales provistos por el comitente que no hubieran sido rechazados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por aquéllos, ni aun cuando el daño se produzca durante la ejecución.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Por los demás defectos o vicios, con excepción de los que solo afecten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elementos de terminación o acabado de las obras, el arquitecto, el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ingeniero, el constructor y el empresario serán responsables por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espacio de cinco años. Por los defectos o vicios que solo afecten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elementos de terminación y acabado de las obras, la responsabilidad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será por espacio de dos años. En estos casos la exoneración de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responsabilidad podrá fundarse en cualquier causa no imputable a los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sujetos indicados.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La responsabilidad de que tratan los incisos precedentes se contrae no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solo respecto del comitente, sino también de los sucesivos adquirentes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del edificio.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Los plazos dentro de los que la acción puede nacer son los indicados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en los incisos precedentes y se cuentan desde la recepción de la obra.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Una vez nacida la acción por haberse manifestado el vicio o defecto,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prescribe a los cuatro años".</w:t>
      </w:r>
    </w:p>
    <w:bookmarkStart w:id="1" w:name="2"/>
    <w:bookmarkEnd w:id="1"/>
    <w:p w:rsidR="007C2D36" w:rsidRPr="007C2D36" w:rsidRDefault="0027114C" w:rsidP="007C2D36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7C2D36"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"https://www.impo.com.uy/bases/leyes-originales/19726-2018/2" </w:instrTex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7C2D36" w:rsidRPr="007C2D36">
        <w:rPr>
          <w:rFonts w:ascii="Helvetica" w:eastAsia="Times New Roman" w:hAnsi="Helvetica" w:cs="Helvetica"/>
          <w:color w:val="ACAAAD"/>
          <w:sz w:val="27"/>
          <w:u w:val="single"/>
          <w:lang w:eastAsia="es-UY"/>
        </w:rPr>
        <w:t>Artículo 2</w: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Si se tratare de relaciones de consumo, será de aplicación la Ley N° 17.250, de 11 de agosto de 2000, en todo lo no previsto por la presente ley.</w:t>
      </w:r>
    </w:p>
    <w:bookmarkStart w:id="2" w:name="3"/>
    <w:bookmarkEnd w:id="2"/>
    <w:p w:rsidR="007C2D36" w:rsidRPr="007C2D36" w:rsidRDefault="0027114C" w:rsidP="007C2D36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7C2D36"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"https://www.impo.com.uy/bases/leyes-originales/19726-2018/3" </w:instrTex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7C2D36" w:rsidRPr="007C2D36">
        <w:rPr>
          <w:rFonts w:ascii="Helvetica" w:eastAsia="Times New Roman" w:hAnsi="Helvetica" w:cs="Helvetica"/>
          <w:color w:val="ACAAAD"/>
          <w:sz w:val="27"/>
          <w:u w:val="single"/>
          <w:lang w:eastAsia="es-UY"/>
        </w:rPr>
        <w:t>Artículo 3</w: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lastRenderedPageBreak/>
        <w:t xml:space="preserve">   Esta ley se aplicará a los contratos de construcción que se celebren con posterioridad a la entrada en vigencia de la misma.</w:t>
      </w:r>
    </w:p>
    <w:bookmarkStart w:id="3" w:name="4"/>
    <w:bookmarkEnd w:id="3"/>
    <w:p w:rsidR="007C2D36" w:rsidRPr="007C2D36" w:rsidRDefault="0027114C" w:rsidP="007C2D36">
      <w:pPr>
        <w:shd w:val="clear" w:color="auto" w:fill="FFFFFF"/>
        <w:spacing w:before="150" w:after="150" w:line="240" w:lineRule="auto"/>
        <w:outlineLvl w:val="3"/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begin"/>
      </w:r>
      <w:r w:rsidR="007C2D36"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instrText xml:space="preserve"> HYPERLINK "https://www.impo.com.uy/bases/leyes-originales/19726-2018/4" </w:instrTex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separate"/>
      </w:r>
      <w:r w:rsidR="007C2D36" w:rsidRPr="007C2D36">
        <w:rPr>
          <w:rFonts w:ascii="Helvetica" w:eastAsia="Times New Roman" w:hAnsi="Helvetica" w:cs="Helvetica"/>
          <w:color w:val="ACAAAD"/>
          <w:sz w:val="27"/>
          <w:u w:val="single"/>
          <w:lang w:eastAsia="es-UY"/>
        </w:rPr>
        <w:t>Artículo 4</w:t>
      </w:r>
      <w:r w:rsidRPr="007C2D36">
        <w:rPr>
          <w:rFonts w:ascii="Helvetica" w:eastAsia="Times New Roman" w:hAnsi="Helvetica" w:cs="Helvetica"/>
          <w:color w:val="333333"/>
          <w:sz w:val="27"/>
          <w:szCs w:val="27"/>
          <w:lang w:eastAsia="es-UY"/>
        </w:rPr>
        <w:fldChar w:fldCharType="end"/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Deróganse los artículos 35 y 36 de la Ley N° 1.816, de 8 de julio de 1885.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Sala de Sesiones de la Cámara de Senadores, en Montevideo, a 12 de diciembre de 2018.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LUCÍA TOPOLANSKY, Presidente; JOSÉ PEDRO MONTERO, Secretario.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>MINISTERIO DE EDUCACIÓN Y CULTURA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                                    Montevideo, 21 de Diciembre de 2018</w:t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Cúmplase, acúsese recibo, comuníquese, publíquese e insértese en el Registro Nacional de Leyes y Decretos, la Ley por la que se modifica el artículo 1844 del Código Civil y se derogan los artículos 35 y 36 de la Ley N° 1.816, de 8 de julio de 1885, referidos a la responsabilidad de arquitectos, ingenieros y constructores.</w:t>
      </w:r>
    </w:p>
    <w:p w:rsidR="007C2D36" w:rsidRPr="007C2D36" w:rsidRDefault="007C2D36" w:rsidP="007C2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7C2D36">
        <w:rPr>
          <w:rFonts w:ascii="Helvetica" w:eastAsia="Times New Roman" w:hAnsi="Helvetica" w:cs="Helvetica"/>
          <w:color w:val="333333"/>
          <w:sz w:val="21"/>
          <w:szCs w:val="21"/>
          <w:lang w:eastAsia="es-UY"/>
        </w:rPr>
        <w:br/>
      </w:r>
    </w:p>
    <w:p w:rsidR="007C2D36" w:rsidRPr="007C2D36" w:rsidRDefault="007C2D36" w:rsidP="007C2D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</w:pPr>
      <w:r w:rsidRPr="007C2D36">
        <w:rPr>
          <w:rFonts w:ascii="Courier New" w:eastAsia="Times New Roman" w:hAnsi="Courier New" w:cs="Courier New"/>
          <w:color w:val="333333"/>
          <w:sz w:val="20"/>
          <w:szCs w:val="20"/>
          <w:lang w:eastAsia="es-UY"/>
        </w:rPr>
        <w:t xml:space="preserve">   Dr. TABARÉ VÁZQUEZ, Presidente de la República, Período 2015-2020; MARÍA JULIA MUÑOZ.</w:t>
      </w:r>
    </w:p>
    <w:p w:rsidR="00786EAE" w:rsidRDefault="00E24178"/>
    <w:sectPr w:rsidR="00786EAE" w:rsidSect="005E07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C2D36"/>
    <w:rsid w:val="0027114C"/>
    <w:rsid w:val="0052796B"/>
    <w:rsid w:val="005E073B"/>
    <w:rsid w:val="007A3C1E"/>
    <w:rsid w:val="007C2D36"/>
    <w:rsid w:val="00E2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73B"/>
  </w:style>
  <w:style w:type="paragraph" w:styleId="Ttulo1">
    <w:name w:val="heading 1"/>
    <w:basedOn w:val="Normal"/>
    <w:link w:val="Ttulo1Car"/>
    <w:uiPriority w:val="9"/>
    <w:qFormat/>
    <w:rsid w:val="007C2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UY"/>
    </w:rPr>
  </w:style>
  <w:style w:type="paragraph" w:styleId="Ttulo4">
    <w:name w:val="heading 4"/>
    <w:basedOn w:val="Normal"/>
    <w:link w:val="Ttulo4Car"/>
    <w:uiPriority w:val="9"/>
    <w:qFormat/>
    <w:rsid w:val="007C2D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styleId="Ttulo5">
    <w:name w:val="heading 5"/>
    <w:basedOn w:val="Normal"/>
    <w:link w:val="Ttulo5Car"/>
    <w:uiPriority w:val="9"/>
    <w:qFormat/>
    <w:rsid w:val="007C2D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paragraph" w:styleId="Ttulo6">
    <w:name w:val="heading 6"/>
    <w:basedOn w:val="Normal"/>
    <w:link w:val="Ttulo6Car"/>
    <w:uiPriority w:val="9"/>
    <w:qFormat/>
    <w:rsid w:val="007C2D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D36"/>
    <w:rPr>
      <w:rFonts w:ascii="Times New Roman" w:eastAsia="Times New Roman" w:hAnsi="Times New Roman" w:cs="Times New Roman"/>
      <w:b/>
      <w:bCs/>
      <w:kern w:val="36"/>
      <w:sz w:val="48"/>
      <w:szCs w:val="48"/>
      <w:lang w:eastAsia="es-UY"/>
    </w:rPr>
  </w:style>
  <w:style w:type="character" w:customStyle="1" w:styleId="Ttulo4Car">
    <w:name w:val="Título 4 Car"/>
    <w:basedOn w:val="Fuentedeprrafopredeter"/>
    <w:link w:val="Ttulo4"/>
    <w:uiPriority w:val="9"/>
    <w:rsid w:val="007C2D36"/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character" w:customStyle="1" w:styleId="Ttulo5Car">
    <w:name w:val="Título 5 Car"/>
    <w:basedOn w:val="Fuentedeprrafopredeter"/>
    <w:link w:val="Ttulo5"/>
    <w:uiPriority w:val="9"/>
    <w:rsid w:val="007C2D36"/>
    <w:rPr>
      <w:rFonts w:ascii="Times New Roman" w:eastAsia="Times New Roman" w:hAnsi="Times New Roman" w:cs="Times New Roman"/>
      <w:b/>
      <w:bCs/>
      <w:sz w:val="20"/>
      <w:szCs w:val="20"/>
      <w:lang w:eastAsia="es-UY"/>
    </w:rPr>
  </w:style>
  <w:style w:type="character" w:customStyle="1" w:styleId="Ttulo6Car">
    <w:name w:val="Título 6 Car"/>
    <w:basedOn w:val="Fuentedeprrafopredeter"/>
    <w:link w:val="Ttulo6"/>
    <w:uiPriority w:val="9"/>
    <w:rsid w:val="007C2D36"/>
    <w:rPr>
      <w:rFonts w:ascii="Times New Roman" w:eastAsia="Times New Roman" w:hAnsi="Times New Roman" w:cs="Times New Roman"/>
      <w:b/>
      <w:bCs/>
      <w:sz w:val="15"/>
      <w:szCs w:val="15"/>
      <w:lang w:eastAsia="es-UY"/>
    </w:rPr>
  </w:style>
  <w:style w:type="character" w:styleId="Textoennegrita">
    <w:name w:val="Strong"/>
    <w:basedOn w:val="Fuentedeprrafopredeter"/>
    <w:uiPriority w:val="22"/>
    <w:qFormat/>
    <w:rsid w:val="007C2D3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7C2D36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C2D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UY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C2D36"/>
    <w:rPr>
      <w:rFonts w:ascii="Courier New" w:eastAsia="Times New Roman" w:hAnsi="Courier New" w:cs="Courier New"/>
      <w:sz w:val="20"/>
      <w:szCs w:val="20"/>
      <w:lang w:eastAsia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39603">
          <w:marLeft w:val="0"/>
          <w:marRight w:val="0"/>
          <w:marTop w:val="0"/>
          <w:marBottom w:val="300"/>
          <w:divBdr>
            <w:top w:val="single" w:sz="6" w:space="11" w:color="BCE8F1"/>
            <w:left w:val="single" w:sz="6" w:space="11" w:color="BCE8F1"/>
            <w:bottom w:val="single" w:sz="6" w:space="11" w:color="BCE8F1"/>
            <w:right w:val="single" w:sz="6" w:space="11" w:color="BCE8F1"/>
          </w:divBdr>
        </w:div>
        <w:div w:id="7374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mpo.com.uy/diariooficial/2019/01/03/1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Usuario</cp:lastModifiedBy>
  <cp:revision>2</cp:revision>
  <dcterms:created xsi:type="dcterms:W3CDTF">2019-06-04T16:34:00Z</dcterms:created>
  <dcterms:modified xsi:type="dcterms:W3CDTF">2019-06-04T16:34:00Z</dcterms:modified>
</cp:coreProperties>
</file>