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CE2" w:rsidRDefault="004A1CE2" w:rsidP="004A1CE2">
      <w:pPr>
        <w:shd w:val="clear" w:color="auto" w:fill="FFFFFF"/>
        <w:spacing w:after="0" w:line="384" w:lineRule="atLeast"/>
        <w:rPr>
          <w:rFonts w:eastAsia="Times New Roman" w:cstheme="minorHAnsi"/>
          <w:b/>
          <w:iCs/>
          <w:color w:val="000000"/>
          <w:lang w:eastAsia="es-UY"/>
        </w:rPr>
      </w:pPr>
      <w:bookmarkStart w:id="0" w:name="_GoBack"/>
      <w:bookmarkEnd w:id="0"/>
      <w:r>
        <w:rPr>
          <w:rFonts w:eastAsia="Times New Roman" w:cstheme="minorHAnsi"/>
          <w:b/>
          <w:iCs/>
          <w:color w:val="000000"/>
          <w:lang w:eastAsia="es-UY"/>
        </w:rPr>
        <w:t>Normas que intensifican obligaciones laborales para los empleadores en el año 2020.</w:t>
      </w:r>
    </w:p>
    <w:p w:rsidR="004A1CE2" w:rsidRDefault="004A1CE2" w:rsidP="004A1CE2">
      <w:pPr>
        <w:pStyle w:val="Prrafodelista"/>
        <w:numPr>
          <w:ilvl w:val="0"/>
          <w:numId w:val="1"/>
        </w:numPr>
        <w:shd w:val="clear" w:color="auto" w:fill="FFFFFF"/>
        <w:spacing w:after="0" w:line="384" w:lineRule="atLeast"/>
        <w:jc w:val="both"/>
        <w:rPr>
          <w:rFonts w:eastAsia="Times New Roman" w:cstheme="minorHAnsi"/>
          <w:iCs/>
          <w:color w:val="000000"/>
          <w:u w:val="single"/>
          <w:lang w:eastAsia="es-UY"/>
        </w:rPr>
      </w:pPr>
      <w:r>
        <w:rPr>
          <w:rFonts w:eastAsia="Times New Roman" w:cstheme="minorHAnsi"/>
          <w:iCs/>
          <w:color w:val="000000"/>
          <w:u w:val="single"/>
          <w:lang w:eastAsia="es-UY"/>
        </w:rPr>
        <w:t>Control de voto en elecciones nacionales.</w:t>
      </w:r>
    </w:p>
    <w:p w:rsidR="004A1CE2" w:rsidRDefault="004A1CE2" w:rsidP="004A1CE2">
      <w:pPr>
        <w:jc w:val="both"/>
      </w:pPr>
      <w:r>
        <w:t xml:space="preserve">Conforme a lo previsto en los artículos 11, 14 y 18 de la ley 16.017 que regula aspectos relacionados con los actos electorales en el país, los empleadores de la actividad privada </w:t>
      </w:r>
      <w:proofErr w:type="spellStart"/>
      <w:r>
        <w:t>estan</w:t>
      </w:r>
      <w:proofErr w:type="spellEnd"/>
      <w:r>
        <w:t xml:space="preserve"> obligados a requerir a sus trabajadores, evidencia de haber participado de los actos eleccionarios. Conforme a la norma, los empleadores podrán válidamente retener el sueldo del trabajador, hasta tanto éste no acredite haber cumplido con el voto o haber abonado la multa correspondiente ante la Corte Electoral.</w:t>
      </w:r>
    </w:p>
    <w:p w:rsidR="004A1CE2" w:rsidRDefault="004A1CE2" w:rsidP="004A1CE2">
      <w:pPr>
        <w:jc w:val="both"/>
      </w:pPr>
      <w:r>
        <w:t xml:space="preserve">Conforme a la circular emitida por la Corte Electoral, el control de los actos eleccionarios de octubre y noviembre de 2019, debe realizarse a partir del 23 de marzo de 2020 y por el plazo de 120 días. Por lo que, en los hechos, para el cobro de salarios a partir del 23 de marzo y hasta el 22 de julio de 2020, los trabajadores deberán acreditar el voto en las elecciones nacionales de octubre y en el acto eleccionario del ballotage del pasado mes de noviembre. </w:t>
      </w:r>
    </w:p>
    <w:p w:rsidR="004A1CE2" w:rsidRDefault="004A1CE2" w:rsidP="004A1CE2">
      <w:pPr>
        <w:jc w:val="both"/>
      </w:pPr>
      <w:r>
        <w:t>A los efectos de acreditar, ante una eventual inspección de la Corte Electoral, el haber cumplido con la obligación prevista en la ley, es recomendable requerirle a los trabajadores una copia de las respectivas constancias.</w:t>
      </w:r>
    </w:p>
    <w:p w:rsidR="004A1CE2" w:rsidRDefault="004A1CE2" w:rsidP="004A1CE2">
      <w:pPr>
        <w:jc w:val="both"/>
      </w:pPr>
      <w:r>
        <w:t>Aquellos empleadores que no cumplan con el control estipulado en la ley, podrán ser sujetos a multas por parte de la Corte Electoral equivalentes al 10% (diez por ciento) del sueldo nominal mensual de cada trabajador. En caso de reincidencia se puede duplicar el monto de la misma.</w:t>
      </w:r>
    </w:p>
    <w:p w:rsidR="003232D7" w:rsidRPr="004A1CE2" w:rsidRDefault="003232D7" w:rsidP="004A1CE2"/>
    <w:sectPr w:rsidR="003232D7" w:rsidRPr="004A1C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43A7D"/>
    <w:multiLevelType w:val="hybridMultilevel"/>
    <w:tmpl w:val="3AB46E0A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E2"/>
    <w:rsid w:val="003232D7"/>
    <w:rsid w:val="004A1CE2"/>
    <w:rsid w:val="00D7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882CDA6-0603-4B2E-AFD1-5BB9C08C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CE2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1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4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2020-02-05T15:04:00Z</dcterms:created>
  <dcterms:modified xsi:type="dcterms:W3CDTF">2020-02-05T15:04:00Z</dcterms:modified>
</cp:coreProperties>
</file>